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48EF5" w14:textId="4EC930D8" w:rsidR="003004F4" w:rsidRDefault="0099384F" w:rsidP="00875B32">
      <w:pPr>
        <w:spacing w:after="0" w:line="240" w:lineRule="auto"/>
        <w:jc w:val="center"/>
        <w:rPr>
          <w:b/>
          <w:bCs/>
          <w:sz w:val="24"/>
          <w:szCs w:val="24"/>
        </w:rPr>
      </w:pPr>
      <w:r>
        <w:rPr>
          <w:b/>
          <w:bCs/>
          <w:sz w:val="24"/>
          <w:szCs w:val="24"/>
        </w:rPr>
        <w:t>Thoughts About</w:t>
      </w:r>
      <w:r w:rsidR="00774C21">
        <w:rPr>
          <w:b/>
          <w:bCs/>
          <w:sz w:val="24"/>
          <w:szCs w:val="24"/>
        </w:rPr>
        <w:t xml:space="preserve"> Current </w:t>
      </w:r>
      <w:r w:rsidR="000D6C9E">
        <w:rPr>
          <w:b/>
          <w:bCs/>
          <w:sz w:val="24"/>
          <w:szCs w:val="24"/>
        </w:rPr>
        <w:t xml:space="preserve">School </w:t>
      </w:r>
      <w:r w:rsidR="00774C21">
        <w:rPr>
          <w:b/>
          <w:bCs/>
          <w:sz w:val="24"/>
          <w:szCs w:val="24"/>
        </w:rPr>
        <w:t>Budget</w:t>
      </w:r>
      <w:r w:rsidR="000D6C9E">
        <w:rPr>
          <w:b/>
          <w:bCs/>
          <w:sz w:val="24"/>
          <w:szCs w:val="24"/>
        </w:rPr>
        <w:t xml:space="preserve"> </w:t>
      </w:r>
      <w:r w:rsidR="00774C21">
        <w:rPr>
          <w:b/>
          <w:bCs/>
          <w:sz w:val="24"/>
          <w:szCs w:val="24"/>
        </w:rPr>
        <w:t>Discussions</w:t>
      </w:r>
    </w:p>
    <w:p w14:paraId="47EBE5C4" w14:textId="580DFCC3" w:rsidR="00774C21" w:rsidRDefault="00774C21" w:rsidP="00875B32">
      <w:pPr>
        <w:spacing w:after="0" w:line="240" w:lineRule="auto"/>
        <w:jc w:val="center"/>
        <w:rPr>
          <w:b/>
          <w:bCs/>
          <w:sz w:val="24"/>
          <w:szCs w:val="24"/>
        </w:rPr>
      </w:pPr>
      <w:r>
        <w:rPr>
          <w:b/>
          <w:bCs/>
          <w:sz w:val="24"/>
          <w:szCs w:val="24"/>
        </w:rPr>
        <w:t>Ward 6 Public School Parents Organization</w:t>
      </w:r>
    </w:p>
    <w:p w14:paraId="6A2854D4" w14:textId="70A9E8E4" w:rsidR="0099384F" w:rsidRDefault="0099384F" w:rsidP="00875B32">
      <w:pPr>
        <w:spacing w:after="0" w:line="240" w:lineRule="auto"/>
        <w:jc w:val="center"/>
        <w:rPr>
          <w:b/>
          <w:bCs/>
          <w:sz w:val="24"/>
          <w:szCs w:val="24"/>
        </w:rPr>
      </w:pPr>
      <w:r>
        <w:rPr>
          <w:b/>
          <w:bCs/>
          <w:sz w:val="24"/>
          <w:szCs w:val="24"/>
        </w:rPr>
        <w:t>July 17, 2019</w:t>
      </w:r>
    </w:p>
    <w:p w14:paraId="11065A0F" w14:textId="77777777" w:rsidR="00875B32" w:rsidRPr="00875B32" w:rsidRDefault="00875B32" w:rsidP="00875B32">
      <w:pPr>
        <w:spacing w:after="0" w:line="240" w:lineRule="auto"/>
        <w:jc w:val="center"/>
        <w:rPr>
          <w:b/>
          <w:bCs/>
          <w:sz w:val="24"/>
          <w:szCs w:val="24"/>
        </w:rPr>
      </w:pPr>
    </w:p>
    <w:p w14:paraId="0E6F3CAC" w14:textId="1763AF94" w:rsidR="00FD30C9" w:rsidRPr="00875B32" w:rsidRDefault="00FD30C9" w:rsidP="00875B32">
      <w:pPr>
        <w:spacing w:after="0" w:line="240" w:lineRule="auto"/>
        <w:rPr>
          <w:rFonts w:eastAsia="Times New Roman" w:cstheme="minorHAnsi"/>
          <w:sz w:val="24"/>
          <w:szCs w:val="24"/>
        </w:rPr>
      </w:pPr>
      <w:r w:rsidRPr="00875B32">
        <w:rPr>
          <w:sz w:val="24"/>
          <w:szCs w:val="24"/>
        </w:rPr>
        <w:t xml:space="preserve">As Ward 6 parents who have served on LSATs and have been involved with school budgeting for years, we are concerned </w:t>
      </w:r>
      <w:r w:rsidR="00524BFF">
        <w:rPr>
          <w:sz w:val="24"/>
          <w:szCs w:val="24"/>
        </w:rPr>
        <w:t xml:space="preserve">the </w:t>
      </w:r>
      <w:r w:rsidRPr="00875B32">
        <w:rPr>
          <w:sz w:val="24"/>
          <w:szCs w:val="24"/>
        </w:rPr>
        <w:t>school budget reforms currently being discussed, including at the June 26</w:t>
      </w:r>
      <w:r w:rsidR="0099384F">
        <w:rPr>
          <w:sz w:val="24"/>
          <w:szCs w:val="24"/>
        </w:rPr>
        <w:t>, 2019,</w:t>
      </w:r>
      <w:r w:rsidRPr="00875B32">
        <w:rPr>
          <w:sz w:val="24"/>
          <w:szCs w:val="24"/>
        </w:rPr>
        <w:t xml:space="preserve"> Council hearing, may fall short of </w:t>
      </w:r>
      <w:r w:rsidR="008823D5">
        <w:rPr>
          <w:sz w:val="24"/>
          <w:szCs w:val="24"/>
        </w:rPr>
        <w:t>significantly improving</w:t>
      </w:r>
      <w:r w:rsidRPr="00875B32">
        <w:rPr>
          <w:sz w:val="24"/>
          <w:szCs w:val="24"/>
        </w:rPr>
        <w:t xml:space="preserve"> equity</w:t>
      </w:r>
      <w:r w:rsidR="008823D5">
        <w:rPr>
          <w:sz w:val="24"/>
          <w:szCs w:val="24"/>
        </w:rPr>
        <w:t xml:space="preserve"> for students</w:t>
      </w:r>
      <w:r w:rsidRPr="00875B32">
        <w:rPr>
          <w:sz w:val="24"/>
          <w:szCs w:val="24"/>
        </w:rPr>
        <w:t xml:space="preserve">, and if implemented in a haphazard way, may even exacerbate inequities in school funding. </w:t>
      </w:r>
      <w:r w:rsidRPr="00875B32">
        <w:rPr>
          <w:rFonts w:eastAsia="Times New Roman" w:cstheme="minorHAnsi"/>
          <w:sz w:val="24"/>
          <w:szCs w:val="24"/>
        </w:rPr>
        <w:t>This paper outlines our initial thinking about the budget models being discussed</w:t>
      </w:r>
      <w:r w:rsidR="0099384F">
        <w:rPr>
          <w:rFonts w:eastAsia="Times New Roman" w:cstheme="minorHAnsi"/>
          <w:sz w:val="24"/>
          <w:szCs w:val="24"/>
        </w:rPr>
        <w:t>,</w:t>
      </w:r>
      <w:r w:rsidRPr="00875B32">
        <w:rPr>
          <w:rFonts w:eastAsia="Times New Roman" w:cstheme="minorHAnsi"/>
          <w:sz w:val="24"/>
          <w:szCs w:val="24"/>
        </w:rPr>
        <w:t xml:space="preserve"> and is informed by research on school finance. </w:t>
      </w:r>
    </w:p>
    <w:p w14:paraId="0A02B289" w14:textId="77777777" w:rsidR="00FD30C9" w:rsidRPr="00875B32" w:rsidRDefault="00FD30C9" w:rsidP="00875B32">
      <w:pPr>
        <w:spacing w:after="0" w:line="240" w:lineRule="auto"/>
        <w:rPr>
          <w:rFonts w:eastAsia="Times New Roman" w:cstheme="minorHAnsi"/>
          <w:sz w:val="24"/>
          <w:szCs w:val="24"/>
        </w:rPr>
      </w:pPr>
    </w:p>
    <w:p w14:paraId="697428BA" w14:textId="7D4D749D" w:rsidR="00EB757A" w:rsidRPr="00875B32" w:rsidRDefault="00EB757A" w:rsidP="00875B32">
      <w:pPr>
        <w:spacing w:after="0" w:line="240" w:lineRule="auto"/>
        <w:rPr>
          <w:rFonts w:eastAsia="Times New Roman" w:cstheme="minorHAnsi"/>
          <w:sz w:val="24"/>
          <w:szCs w:val="24"/>
        </w:rPr>
      </w:pPr>
      <w:r w:rsidRPr="00875B32">
        <w:rPr>
          <w:rFonts w:eastAsia="Times New Roman" w:cstheme="minorHAnsi"/>
          <w:b/>
          <w:bCs/>
          <w:sz w:val="24"/>
          <w:szCs w:val="24"/>
        </w:rPr>
        <w:t xml:space="preserve">The Comprehensive Staffing Model </w:t>
      </w:r>
      <w:r w:rsidR="00F73284">
        <w:rPr>
          <w:rFonts w:eastAsia="Times New Roman" w:cstheme="minorHAnsi"/>
          <w:b/>
          <w:bCs/>
          <w:sz w:val="24"/>
          <w:szCs w:val="24"/>
        </w:rPr>
        <w:t xml:space="preserve">(CSM) </w:t>
      </w:r>
      <w:r w:rsidRPr="00875B32">
        <w:rPr>
          <w:rFonts w:eastAsia="Times New Roman" w:cstheme="minorHAnsi"/>
          <w:b/>
          <w:bCs/>
          <w:sz w:val="24"/>
          <w:szCs w:val="24"/>
        </w:rPr>
        <w:t>is not to blame for current inequities in funding</w:t>
      </w:r>
      <w:r w:rsidR="001445A4">
        <w:rPr>
          <w:rFonts w:eastAsia="Times New Roman" w:cstheme="minorHAnsi"/>
          <w:b/>
          <w:bCs/>
          <w:sz w:val="24"/>
          <w:szCs w:val="24"/>
        </w:rPr>
        <w:t>.</w:t>
      </w:r>
    </w:p>
    <w:p w14:paraId="13CDBE6C" w14:textId="10E6BAE2" w:rsidR="00F967C6" w:rsidRPr="00875B32" w:rsidRDefault="00F967C6" w:rsidP="00875B32">
      <w:pPr>
        <w:spacing w:after="0" w:line="240" w:lineRule="auto"/>
        <w:rPr>
          <w:sz w:val="24"/>
          <w:szCs w:val="24"/>
        </w:rPr>
      </w:pPr>
      <w:r w:rsidRPr="00875B32">
        <w:rPr>
          <w:sz w:val="24"/>
          <w:szCs w:val="24"/>
        </w:rPr>
        <w:t xml:space="preserve">Inequities with the current budgeting approach are due to high-poverty schools not being provided with adequate supplemental dollars above and beyond the CSM. This is not an issue with the CSM per se. Rather, it is due to the choices around how monies (e.g., at-risk, Title 1) are allocated to schools beyond the CSM. We do not know whether DCPS simply doesn’t have enough money to both implement the CSM and layer on additional funds, whether they are inefficiently spending needed money in Central Office, or whether they do not have the desire to layer on additional funds above and beyond the CSM. </w:t>
      </w:r>
    </w:p>
    <w:p w14:paraId="7E9C1F14" w14:textId="77777777" w:rsidR="00EB757A" w:rsidRPr="00875B32" w:rsidRDefault="00EB757A" w:rsidP="00875B32">
      <w:pPr>
        <w:spacing w:after="0" w:line="240" w:lineRule="auto"/>
        <w:rPr>
          <w:rFonts w:eastAsia="Times New Roman" w:cstheme="minorHAnsi"/>
          <w:sz w:val="24"/>
          <w:szCs w:val="24"/>
        </w:rPr>
      </w:pPr>
    </w:p>
    <w:p w14:paraId="4AC17869" w14:textId="17AA2412" w:rsidR="00EB757A" w:rsidRDefault="00EB757A" w:rsidP="00875B32">
      <w:pPr>
        <w:spacing w:after="0" w:line="240" w:lineRule="auto"/>
        <w:rPr>
          <w:sz w:val="24"/>
          <w:szCs w:val="24"/>
        </w:rPr>
      </w:pPr>
      <w:r w:rsidRPr="00875B32">
        <w:rPr>
          <w:sz w:val="24"/>
          <w:szCs w:val="24"/>
        </w:rPr>
        <w:t>It is possible to maintain the CSM and increase funding equity by requiring that schools serving at-risk</w:t>
      </w:r>
      <w:r w:rsidR="001445A4">
        <w:rPr>
          <w:sz w:val="24"/>
          <w:szCs w:val="24"/>
        </w:rPr>
        <w:t xml:space="preserve"> </w:t>
      </w:r>
      <w:r w:rsidR="00DD2165">
        <w:rPr>
          <w:sz w:val="24"/>
          <w:szCs w:val="24"/>
        </w:rPr>
        <w:t xml:space="preserve">students </w:t>
      </w:r>
      <w:r w:rsidRPr="00875B32">
        <w:rPr>
          <w:sz w:val="24"/>
          <w:szCs w:val="24"/>
        </w:rPr>
        <w:t xml:space="preserve">receive a certain percent of additional funds </w:t>
      </w:r>
      <w:r w:rsidRPr="00875B32">
        <w:rPr>
          <w:sz w:val="24"/>
          <w:szCs w:val="24"/>
          <w:u w:val="single"/>
        </w:rPr>
        <w:t>above and beyond the CSM</w:t>
      </w:r>
      <w:r w:rsidRPr="00875B32">
        <w:rPr>
          <w:sz w:val="24"/>
          <w:szCs w:val="24"/>
        </w:rPr>
        <w:t xml:space="preserve"> and dependent on their student populations. </w:t>
      </w:r>
      <w:r w:rsidR="001445A4">
        <w:rPr>
          <w:sz w:val="24"/>
          <w:szCs w:val="24"/>
        </w:rPr>
        <w:t xml:space="preserve">The CSM may also need to be adjusted to ensure it allocates sufficient additional resources </w:t>
      </w:r>
      <w:r w:rsidR="00DD2165">
        <w:rPr>
          <w:sz w:val="24"/>
          <w:szCs w:val="24"/>
        </w:rPr>
        <w:t>for</w:t>
      </w:r>
      <w:r w:rsidR="001445A4">
        <w:rPr>
          <w:sz w:val="24"/>
          <w:szCs w:val="24"/>
        </w:rPr>
        <w:t xml:space="preserve"> special education and English learner students depending on their </w:t>
      </w:r>
      <w:r w:rsidR="00DD2165">
        <w:rPr>
          <w:sz w:val="24"/>
          <w:szCs w:val="24"/>
        </w:rPr>
        <w:t>level of need</w:t>
      </w:r>
      <w:r w:rsidR="001445A4">
        <w:rPr>
          <w:sz w:val="24"/>
          <w:szCs w:val="24"/>
        </w:rPr>
        <w:t xml:space="preserve">. </w:t>
      </w:r>
      <w:r w:rsidRPr="00875B32">
        <w:rPr>
          <w:sz w:val="24"/>
          <w:szCs w:val="24"/>
        </w:rPr>
        <w:t xml:space="preserve">However, DCPS needs adequate funds overall to attempt this approach. </w:t>
      </w:r>
    </w:p>
    <w:p w14:paraId="284DC3F2" w14:textId="77777777" w:rsidR="00875B32" w:rsidRPr="00875B32" w:rsidRDefault="00875B32" w:rsidP="00875B32">
      <w:pPr>
        <w:spacing w:after="0" w:line="240" w:lineRule="auto"/>
        <w:rPr>
          <w:sz w:val="24"/>
          <w:szCs w:val="24"/>
        </w:rPr>
      </w:pPr>
    </w:p>
    <w:p w14:paraId="3F390D4F" w14:textId="5C0874DC" w:rsidR="00EB757A" w:rsidRPr="00875B32" w:rsidRDefault="00EB757A" w:rsidP="00875B32">
      <w:pPr>
        <w:spacing w:after="0" w:line="240" w:lineRule="auto"/>
        <w:rPr>
          <w:b/>
          <w:bCs/>
          <w:sz w:val="24"/>
          <w:szCs w:val="24"/>
        </w:rPr>
      </w:pPr>
      <w:r w:rsidRPr="00875B32">
        <w:rPr>
          <w:b/>
          <w:bCs/>
          <w:sz w:val="24"/>
          <w:szCs w:val="24"/>
        </w:rPr>
        <w:t xml:space="preserve">Moving to a Student-Based Budgeting </w:t>
      </w:r>
      <w:r w:rsidR="0099384F">
        <w:rPr>
          <w:b/>
          <w:bCs/>
          <w:sz w:val="24"/>
          <w:szCs w:val="24"/>
        </w:rPr>
        <w:t xml:space="preserve">(SBB) </w:t>
      </w:r>
      <w:r w:rsidRPr="00875B32">
        <w:rPr>
          <w:b/>
          <w:bCs/>
          <w:sz w:val="24"/>
          <w:szCs w:val="24"/>
        </w:rPr>
        <w:t>model may</w:t>
      </w:r>
      <w:r w:rsidR="007068E0">
        <w:rPr>
          <w:b/>
          <w:bCs/>
          <w:sz w:val="24"/>
          <w:szCs w:val="24"/>
        </w:rPr>
        <w:t xml:space="preserve"> not result in increased equity.</w:t>
      </w:r>
    </w:p>
    <w:p w14:paraId="360A6ACB" w14:textId="0B9248A2" w:rsidR="00EB757A" w:rsidRPr="00875B32" w:rsidRDefault="00F967C6" w:rsidP="00875B32">
      <w:pPr>
        <w:spacing w:after="0" w:line="240" w:lineRule="auto"/>
        <w:rPr>
          <w:b/>
          <w:bCs/>
          <w:sz w:val="24"/>
          <w:szCs w:val="24"/>
        </w:rPr>
      </w:pPr>
      <w:r w:rsidRPr="00875B32">
        <w:rPr>
          <w:sz w:val="24"/>
          <w:szCs w:val="24"/>
        </w:rPr>
        <w:t xml:space="preserve">While a </w:t>
      </w:r>
      <w:r w:rsidR="00E83267">
        <w:rPr>
          <w:sz w:val="24"/>
          <w:szCs w:val="24"/>
        </w:rPr>
        <w:t xml:space="preserve">SBB </w:t>
      </w:r>
      <w:r w:rsidRPr="00875B32">
        <w:rPr>
          <w:sz w:val="24"/>
          <w:szCs w:val="24"/>
        </w:rPr>
        <w:t>model could provide more flexibility to schools, determining the weights for such a model would be complicated and, if funds are insufficient, may not necessarily resul</w:t>
      </w:r>
      <w:r w:rsidR="007068E0">
        <w:rPr>
          <w:sz w:val="24"/>
          <w:szCs w:val="24"/>
        </w:rPr>
        <w:t>t in improved equity compared with</w:t>
      </w:r>
      <w:r w:rsidRPr="00875B32">
        <w:rPr>
          <w:sz w:val="24"/>
          <w:szCs w:val="24"/>
        </w:rPr>
        <w:t xml:space="preserve"> the status quo. </w:t>
      </w:r>
    </w:p>
    <w:p w14:paraId="1643D07A" w14:textId="77777777" w:rsidR="00EB757A" w:rsidRPr="00875B32" w:rsidRDefault="00EB757A" w:rsidP="00875B32">
      <w:pPr>
        <w:spacing w:after="0" w:line="240" w:lineRule="auto"/>
        <w:rPr>
          <w:b/>
          <w:bCs/>
          <w:sz w:val="24"/>
          <w:szCs w:val="24"/>
        </w:rPr>
      </w:pPr>
    </w:p>
    <w:p w14:paraId="6C330350" w14:textId="2DD8E751" w:rsidR="003004F4" w:rsidRDefault="003004F4" w:rsidP="00875B32">
      <w:pPr>
        <w:spacing w:after="0" w:line="240" w:lineRule="auto"/>
        <w:rPr>
          <w:sz w:val="24"/>
          <w:szCs w:val="24"/>
        </w:rPr>
      </w:pPr>
      <w:r w:rsidRPr="00875B32">
        <w:rPr>
          <w:sz w:val="24"/>
          <w:szCs w:val="24"/>
        </w:rPr>
        <w:t xml:space="preserve">If we move towards a </w:t>
      </w:r>
      <w:r w:rsidR="00E83267">
        <w:rPr>
          <w:sz w:val="24"/>
          <w:szCs w:val="24"/>
        </w:rPr>
        <w:t>SBB</w:t>
      </w:r>
      <w:r w:rsidRPr="00875B32">
        <w:rPr>
          <w:sz w:val="24"/>
          <w:szCs w:val="24"/>
        </w:rPr>
        <w:t xml:space="preserve"> approach, extreme care is needed to ensure that schools will receive adequate and equitable funds. The details matter (e.g., what the student weights are, if students are doubly counted for being in more than one category, will the weights provide at least the same amount of resources as they received in the CSM, etc.). If extreme care is not taken, a </w:t>
      </w:r>
      <w:r w:rsidR="00E83267">
        <w:rPr>
          <w:sz w:val="24"/>
          <w:szCs w:val="24"/>
        </w:rPr>
        <w:t xml:space="preserve">SBB </w:t>
      </w:r>
      <w:r w:rsidRPr="00875B32">
        <w:rPr>
          <w:sz w:val="24"/>
          <w:szCs w:val="24"/>
        </w:rPr>
        <w:t>approach could lead to increased inequity in school budget allocations.</w:t>
      </w:r>
      <w:r w:rsidR="00193C9E">
        <w:rPr>
          <w:sz w:val="24"/>
          <w:szCs w:val="24"/>
        </w:rPr>
        <w:t xml:space="preserve"> </w:t>
      </w:r>
    </w:p>
    <w:p w14:paraId="06E176B5" w14:textId="77777777" w:rsidR="002454F7" w:rsidRPr="00875B32" w:rsidRDefault="002454F7" w:rsidP="00875B32">
      <w:pPr>
        <w:spacing w:after="0" w:line="240" w:lineRule="auto"/>
        <w:rPr>
          <w:sz w:val="24"/>
          <w:szCs w:val="24"/>
        </w:rPr>
      </w:pPr>
    </w:p>
    <w:p w14:paraId="4CED947B" w14:textId="3AF26889" w:rsidR="00875B32" w:rsidRDefault="002454F7" w:rsidP="00875B32">
      <w:pPr>
        <w:spacing w:after="0" w:line="240" w:lineRule="auto"/>
        <w:rPr>
          <w:sz w:val="24"/>
          <w:szCs w:val="24"/>
        </w:rPr>
      </w:pPr>
      <w:r>
        <w:rPr>
          <w:sz w:val="24"/>
          <w:szCs w:val="24"/>
        </w:rPr>
        <w:t>Council has also discussed req</w:t>
      </w:r>
      <w:r w:rsidR="0021593E" w:rsidRPr="00875B32">
        <w:rPr>
          <w:sz w:val="24"/>
          <w:szCs w:val="24"/>
        </w:rPr>
        <w:t>uir</w:t>
      </w:r>
      <w:r>
        <w:rPr>
          <w:sz w:val="24"/>
          <w:szCs w:val="24"/>
        </w:rPr>
        <w:t>ing</w:t>
      </w:r>
      <w:r w:rsidR="00EB757A" w:rsidRPr="00875B32">
        <w:rPr>
          <w:sz w:val="24"/>
          <w:szCs w:val="24"/>
        </w:rPr>
        <w:t xml:space="preserve"> DCPS to start with the </w:t>
      </w:r>
      <w:r w:rsidR="0021593E" w:rsidRPr="00875B32">
        <w:rPr>
          <w:sz w:val="24"/>
          <w:szCs w:val="24"/>
        </w:rPr>
        <w:t>previous</w:t>
      </w:r>
      <w:r w:rsidR="00EB757A" w:rsidRPr="00875B32">
        <w:rPr>
          <w:sz w:val="24"/>
          <w:szCs w:val="24"/>
        </w:rPr>
        <w:t xml:space="preserve"> year’s budget and then justify </w:t>
      </w:r>
      <w:r w:rsidR="00D01482">
        <w:rPr>
          <w:sz w:val="24"/>
          <w:szCs w:val="24"/>
        </w:rPr>
        <w:t xml:space="preserve">any (likely modest) </w:t>
      </w:r>
      <w:r w:rsidR="00EB757A" w:rsidRPr="00875B32">
        <w:rPr>
          <w:sz w:val="24"/>
          <w:szCs w:val="24"/>
        </w:rPr>
        <w:t xml:space="preserve">changes. While this idea would provide increased stability from year to year, it is flawed due to the current inequities, inconsistencies, and exceptions already baked into school budgets. </w:t>
      </w:r>
    </w:p>
    <w:p w14:paraId="32696CB7" w14:textId="7E89F6DE" w:rsidR="00FF211E" w:rsidRDefault="00FF211E" w:rsidP="00875B32">
      <w:pPr>
        <w:spacing w:after="0" w:line="240" w:lineRule="auto"/>
        <w:rPr>
          <w:b/>
          <w:bCs/>
          <w:sz w:val="24"/>
          <w:szCs w:val="24"/>
        </w:rPr>
      </w:pPr>
    </w:p>
    <w:p w14:paraId="0DD095BE" w14:textId="5E9AEB40" w:rsidR="00875B32" w:rsidRPr="00875B32" w:rsidRDefault="00875B32" w:rsidP="00875B32">
      <w:pPr>
        <w:spacing w:after="0" w:line="240" w:lineRule="auto"/>
        <w:rPr>
          <w:b/>
          <w:bCs/>
          <w:sz w:val="24"/>
          <w:szCs w:val="24"/>
        </w:rPr>
      </w:pPr>
      <w:r>
        <w:rPr>
          <w:b/>
          <w:bCs/>
          <w:sz w:val="24"/>
          <w:szCs w:val="24"/>
        </w:rPr>
        <w:t>More analysis is needed but certain a</w:t>
      </w:r>
      <w:r w:rsidR="007068E0">
        <w:rPr>
          <w:b/>
          <w:bCs/>
          <w:sz w:val="24"/>
          <w:szCs w:val="24"/>
        </w:rPr>
        <w:t>ctions can be taken immediately.</w:t>
      </w:r>
    </w:p>
    <w:p w14:paraId="18E7B7AB" w14:textId="44915F2C" w:rsidR="00875B32" w:rsidRPr="00875B32" w:rsidRDefault="0012206C" w:rsidP="00875B32">
      <w:pPr>
        <w:spacing w:after="0" w:line="240" w:lineRule="auto"/>
        <w:rPr>
          <w:sz w:val="24"/>
          <w:szCs w:val="24"/>
        </w:rPr>
      </w:pPr>
      <w:r>
        <w:rPr>
          <w:sz w:val="24"/>
          <w:szCs w:val="24"/>
        </w:rPr>
        <w:t>While various analyses have been presented on challenges and potential actions to address the current funding model, we have yet to see a comprehensive trade-</w:t>
      </w:r>
      <w:r w:rsidR="0099384F">
        <w:rPr>
          <w:sz w:val="24"/>
          <w:szCs w:val="24"/>
        </w:rPr>
        <w:t>off analysis</w:t>
      </w:r>
      <w:r>
        <w:rPr>
          <w:sz w:val="24"/>
          <w:szCs w:val="24"/>
        </w:rPr>
        <w:t xml:space="preserve"> that provides a menu of options (including budget neutral options) for enhancing equity in school funding allocations. We urge </w:t>
      </w:r>
      <w:r w:rsidR="0099384F">
        <w:rPr>
          <w:sz w:val="24"/>
          <w:szCs w:val="24"/>
        </w:rPr>
        <w:t xml:space="preserve">there to be </w:t>
      </w:r>
      <w:r>
        <w:rPr>
          <w:sz w:val="24"/>
          <w:szCs w:val="24"/>
        </w:rPr>
        <w:t>a comprehensive trade-</w:t>
      </w:r>
      <w:r w:rsidR="0099384F">
        <w:rPr>
          <w:sz w:val="24"/>
          <w:szCs w:val="24"/>
        </w:rPr>
        <w:t>off</w:t>
      </w:r>
      <w:r>
        <w:rPr>
          <w:sz w:val="24"/>
          <w:szCs w:val="24"/>
        </w:rPr>
        <w:t xml:space="preserve"> analysis, as opposed to defaulting to a specific budget model. In the near term, we recommend the following: </w:t>
      </w:r>
    </w:p>
    <w:p w14:paraId="0C7DE05C" w14:textId="196D95A7" w:rsidR="00875B32" w:rsidRPr="00875B32" w:rsidRDefault="00875B32" w:rsidP="00875B32">
      <w:pPr>
        <w:pStyle w:val="ListParagraph"/>
        <w:numPr>
          <w:ilvl w:val="0"/>
          <w:numId w:val="8"/>
        </w:numPr>
        <w:spacing w:after="0" w:line="240" w:lineRule="auto"/>
        <w:rPr>
          <w:rFonts w:cstheme="minorHAnsi"/>
          <w:sz w:val="24"/>
          <w:szCs w:val="24"/>
        </w:rPr>
      </w:pPr>
      <w:r w:rsidRPr="00875B32">
        <w:rPr>
          <w:sz w:val="24"/>
          <w:szCs w:val="24"/>
        </w:rPr>
        <w:t xml:space="preserve">DCPS </w:t>
      </w:r>
      <w:r w:rsidR="0099384F">
        <w:rPr>
          <w:sz w:val="24"/>
          <w:szCs w:val="24"/>
        </w:rPr>
        <w:t>should</w:t>
      </w:r>
      <w:r w:rsidRPr="00875B32">
        <w:rPr>
          <w:sz w:val="24"/>
          <w:szCs w:val="24"/>
        </w:rPr>
        <w:t xml:space="preserve"> craft school budgets for the 20</w:t>
      </w:r>
      <w:r w:rsidR="0099384F">
        <w:rPr>
          <w:sz w:val="24"/>
          <w:szCs w:val="24"/>
        </w:rPr>
        <w:t>20</w:t>
      </w:r>
      <w:r w:rsidRPr="00875B32">
        <w:rPr>
          <w:sz w:val="24"/>
          <w:szCs w:val="24"/>
        </w:rPr>
        <w:t>-2</w:t>
      </w:r>
      <w:r w:rsidR="0099384F">
        <w:rPr>
          <w:sz w:val="24"/>
          <w:szCs w:val="24"/>
        </w:rPr>
        <w:t>1</w:t>
      </w:r>
      <w:r w:rsidRPr="00875B32">
        <w:rPr>
          <w:sz w:val="24"/>
          <w:szCs w:val="24"/>
        </w:rPr>
        <w:t xml:space="preserve"> school year </w:t>
      </w:r>
      <w:r w:rsidRPr="00875B32">
        <w:rPr>
          <w:sz w:val="24"/>
          <w:szCs w:val="24"/>
          <w:u w:val="single"/>
        </w:rPr>
        <w:t>this fall</w:t>
      </w:r>
      <w:r w:rsidRPr="00875B32">
        <w:rPr>
          <w:sz w:val="24"/>
          <w:szCs w:val="24"/>
        </w:rPr>
        <w:t xml:space="preserve"> using the CSM, indicate how many at-risk and Title 1 funds are allocated to each school </w:t>
      </w:r>
      <w:r w:rsidRPr="00875B32">
        <w:rPr>
          <w:sz w:val="24"/>
          <w:szCs w:val="24"/>
          <w:u w:val="single"/>
        </w:rPr>
        <w:t xml:space="preserve">above and beyond the CSM, </w:t>
      </w:r>
      <w:r w:rsidRPr="00875B32">
        <w:rPr>
          <w:rFonts w:cstheme="minorHAnsi"/>
          <w:sz w:val="24"/>
          <w:szCs w:val="24"/>
        </w:rPr>
        <w:t>and produce a side-by-side comparison of school budgets for the 2019-20 and 2020-21 school years.</w:t>
      </w:r>
    </w:p>
    <w:p w14:paraId="5414D69A" w14:textId="22FEC7FA" w:rsidR="00875B32" w:rsidRPr="00875B32" w:rsidRDefault="0012206C" w:rsidP="00875B32">
      <w:pPr>
        <w:pStyle w:val="ListParagraph"/>
        <w:numPr>
          <w:ilvl w:val="0"/>
          <w:numId w:val="8"/>
        </w:numPr>
        <w:spacing w:after="0" w:line="240" w:lineRule="auto"/>
        <w:rPr>
          <w:rFonts w:eastAsia="Times New Roman" w:cstheme="minorHAnsi"/>
          <w:sz w:val="24"/>
          <w:szCs w:val="24"/>
        </w:rPr>
      </w:pPr>
      <w:r>
        <w:rPr>
          <w:rFonts w:cstheme="minorHAnsi"/>
          <w:sz w:val="24"/>
          <w:szCs w:val="24"/>
        </w:rPr>
        <w:lastRenderedPageBreak/>
        <w:t xml:space="preserve">If moving to </w:t>
      </w:r>
      <w:r w:rsidR="0099384F">
        <w:rPr>
          <w:rFonts w:cstheme="minorHAnsi"/>
          <w:sz w:val="24"/>
          <w:szCs w:val="24"/>
        </w:rPr>
        <w:t xml:space="preserve">a </w:t>
      </w:r>
      <w:r w:rsidR="00E83267">
        <w:rPr>
          <w:rFonts w:cstheme="minorHAnsi"/>
          <w:sz w:val="24"/>
          <w:szCs w:val="24"/>
        </w:rPr>
        <w:t xml:space="preserve">SBB </w:t>
      </w:r>
      <w:r w:rsidR="0099384F">
        <w:rPr>
          <w:rFonts w:cstheme="minorHAnsi"/>
          <w:sz w:val="24"/>
          <w:szCs w:val="24"/>
        </w:rPr>
        <w:t>model is seriously considered</w:t>
      </w:r>
      <w:r>
        <w:rPr>
          <w:rFonts w:cstheme="minorHAnsi"/>
          <w:sz w:val="24"/>
          <w:szCs w:val="24"/>
        </w:rPr>
        <w:t>,</w:t>
      </w:r>
      <w:r w:rsidR="00875B32" w:rsidRPr="00875B32">
        <w:rPr>
          <w:rFonts w:cstheme="minorHAnsi"/>
          <w:sz w:val="24"/>
          <w:szCs w:val="24"/>
        </w:rPr>
        <w:t xml:space="preserve"> DCPS </w:t>
      </w:r>
      <w:r w:rsidR="0099384F">
        <w:rPr>
          <w:rFonts w:cstheme="minorHAnsi"/>
          <w:sz w:val="24"/>
          <w:szCs w:val="24"/>
        </w:rPr>
        <w:t xml:space="preserve">should </w:t>
      </w:r>
      <w:r w:rsidR="00875B32" w:rsidRPr="00875B32">
        <w:rPr>
          <w:rFonts w:cstheme="minorHAnsi"/>
          <w:sz w:val="24"/>
          <w:szCs w:val="24"/>
        </w:rPr>
        <w:t>produce simulations of how SBB would affect school funding levels (and make these simulations publicly available) before any changes are made.</w:t>
      </w:r>
    </w:p>
    <w:p w14:paraId="7E4B91EC" w14:textId="00A115C2" w:rsidR="00FF211E" w:rsidRPr="00875B32" w:rsidRDefault="00FF211E" w:rsidP="00875B32">
      <w:pPr>
        <w:spacing w:after="0" w:line="240" w:lineRule="auto"/>
        <w:rPr>
          <w:b/>
          <w:bCs/>
          <w:sz w:val="24"/>
          <w:szCs w:val="24"/>
        </w:rPr>
      </w:pPr>
    </w:p>
    <w:p w14:paraId="6609B791" w14:textId="40109AB6" w:rsidR="003004F4" w:rsidRPr="00F967C6" w:rsidRDefault="00F967C6" w:rsidP="00875B32">
      <w:pPr>
        <w:spacing w:after="0" w:line="240" w:lineRule="auto"/>
        <w:jc w:val="center"/>
        <w:rPr>
          <w:b/>
          <w:bCs/>
        </w:rPr>
      </w:pPr>
      <w:r w:rsidRPr="00F967C6">
        <w:rPr>
          <w:b/>
          <w:bCs/>
        </w:rPr>
        <w:t xml:space="preserve">Pros and Cons of </w:t>
      </w:r>
      <w:r w:rsidR="0021593E">
        <w:rPr>
          <w:b/>
          <w:bCs/>
        </w:rPr>
        <w:t>Budget Models</w:t>
      </w:r>
    </w:p>
    <w:tbl>
      <w:tblPr>
        <w:tblStyle w:val="GridTable1Light"/>
        <w:tblW w:w="0" w:type="auto"/>
        <w:tblLook w:val="04A0" w:firstRow="1" w:lastRow="0" w:firstColumn="1" w:lastColumn="0" w:noHBand="0" w:noVBand="1"/>
      </w:tblPr>
      <w:tblGrid>
        <w:gridCol w:w="3685"/>
        <w:gridCol w:w="3420"/>
        <w:gridCol w:w="3330"/>
      </w:tblGrid>
      <w:tr w:rsidR="00AF1B55" w14:paraId="0B5A2C74" w14:textId="77777777" w:rsidTr="00E45F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shd w:val="clear" w:color="auto" w:fill="D9D9D9" w:themeFill="background1" w:themeFillShade="D9"/>
          </w:tcPr>
          <w:p w14:paraId="094D16AD" w14:textId="32CE6FA7" w:rsidR="00AF1B55" w:rsidRPr="00AF1B55" w:rsidRDefault="00AF1B55" w:rsidP="00875B32">
            <w:pPr>
              <w:rPr>
                <w:bCs w:val="0"/>
              </w:rPr>
            </w:pPr>
            <w:r>
              <w:rPr>
                <w:bCs w:val="0"/>
              </w:rPr>
              <w:t>BUDGET MODEL</w:t>
            </w:r>
          </w:p>
        </w:tc>
        <w:tc>
          <w:tcPr>
            <w:tcW w:w="3420" w:type="dxa"/>
            <w:shd w:val="clear" w:color="auto" w:fill="D9D9D9" w:themeFill="background1" w:themeFillShade="D9"/>
          </w:tcPr>
          <w:p w14:paraId="6D6BADE8" w14:textId="6C9C05B9" w:rsidR="00AF1B55" w:rsidRPr="00AF1B55" w:rsidRDefault="00AF1B55" w:rsidP="00875B32">
            <w:pPr>
              <w:cnfStyle w:val="100000000000" w:firstRow="1" w:lastRow="0" w:firstColumn="0" w:lastColumn="0" w:oddVBand="0" w:evenVBand="0" w:oddHBand="0" w:evenHBand="0" w:firstRowFirstColumn="0" w:firstRowLastColumn="0" w:lastRowFirstColumn="0" w:lastRowLastColumn="0"/>
              <w:rPr>
                <w:bCs w:val="0"/>
              </w:rPr>
            </w:pPr>
            <w:r w:rsidRPr="00AF1B55">
              <w:rPr>
                <w:bCs w:val="0"/>
              </w:rPr>
              <w:t>PROS</w:t>
            </w:r>
          </w:p>
        </w:tc>
        <w:tc>
          <w:tcPr>
            <w:tcW w:w="3330" w:type="dxa"/>
            <w:shd w:val="clear" w:color="auto" w:fill="D9D9D9" w:themeFill="background1" w:themeFillShade="D9"/>
          </w:tcPr>
          <w:p w14:paraId="56FB8CEC" w14:textId="3894780D" w:rsidR="00AF1B55" w:rsidRPr="00AF1B55" w:rsidRDefault="00AF1B55" w:rsidP="00875B32">
            <w:pPr>
              <w:cnfStyle w:val="100000000000" w:firstRow="1" w:lastRow="0" w:firstColumn="0" w:lastColumn="0" w:oddVBand="0" w:evenVBand="0" w:oddHBand="0" w:evenHBand="0" w:firstRowFirstColumn="0" w:firstRowLastColumn="0" w:lastRowFirstColumn="0" w:lastRowLastColumn="0"/>
              <w:rPr>
                <w:bCs w:val="0"/>
              </w:rPr>
            </w:pPr>
            <w:r>
              <w:rPr>
                <w:bCs w:val="0"/>
              </w:rPr>
              <w:t>CONS</w:t>
            </w:r>
          </w:p>
        </w:tc>
      </w:tr>
      <w:tr w:rsidR="00AF1B55" w14:paraId="3F35BD37" w14:textId="77777777" w:rsidTr="00E45F9B">
        <w:tc>
          <w:tcPr>
            <w:cnfStyle w:val="001000000000" w:firstRow="0" w:lastRow="0" w:firstColumn="1" w:lastColumn="0" w:oddVBand="0" w:evenVBand="0" w:oddHBand="0" w:evenHBand="0" w:firstRowFirstColumn="0" w:firstRowLastColumn="0" w:lastRowFirstColumn="0" w:lastRowLastColumn="0"/>
            <w:tcW w:w="3685" w:type="dxa"/>
          </w:tcPr>
          <w:p w14:paraId="3D78E45E" w14:textId="77777777" w:rsidR="00AF1B55" w:rsidRDefault="00AF1B55" w:rsidP="00875B32">
            <w:pPr>
              <w:rPr>
                <w:b w:val="0"/>
              </w:rPr>
            </w:pPr>
            <w:r w:rsidRPr="00AF1B55">
              <w:rPr>
                <w:bCs w:val="0"/>
              </w:rPr>
              <w:t>Comprehensive staffing model (CSM)</w:t>
            </w:r>
          </w:p>
          <w:p w14:paraId="1D681524" w14:textId="562AB531" w:rsidR="00E45F9B" w:rsidRPr="00E45F9B" w:rsidRDefault="00E45F9B" w:rsidP="00875B32">
            <w:pPr>
              <w:rPr>
                <w:b w:val="0"/>
                <w:bCs w:val="0"/>
                <w:i/>
                <w:iCs/>
              </w:rPr>
            </w:pPr>
            <w:r>
              <w:rPr>
                <w:b w:val="0"/>
                <w:bCs w:val="0"/>
                <w:i/>
                <w:iCs/>
              </w:rPr>
              <w:t>(</w:t>
            </w:r>
            <w:r w:rsidRPr="00E45F9B">
              <w:rPr>
                <w:b w:val="0"/>
                <w:bCs w:val="0"/>
                <w:i/>
                <w:iCs/>
              </w:rPr>
              <w:t>Assigns a certain amount of positions to each school given student enrollment and characteristics</w:t>
            </w:r>
            <w:r>
              <w:rPr>
                <w:b w:val="0"/>
                <w:bCs w:val="0"/>
                <w:i/>
                <w:iCs/>
              </w:rPr>
              <w:t>)</w:t>
            </w:r>
          </w:p>
        </w:tc>
        <w:tc>
          <w:tcPr>
            <w:tcW w:w="3420" w:type="dxa"/>
          </w:tcPr>
          <w:p w14:paraId="28C7FEE3" w14:textId="77777777" w:rsidR="00AF1B55" w:rsidRPr="00E45F9B"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Protects schools with smaller enrollments or smaller class sizes</w:t>
            </w:r>
            <w:r>
              <w:rPr>
                <w:rStyle w:val="FootnoteReference"/>
                <w:bCs/>
              </w:rPr>
              <w:footnoteReference w:id="1"/>
            </w:r>
          </w:p>
          <w:p w14:paraId="3CFFC5FE" w14:textId="783FDA6D" w:rsidR="00E45F9B" w:rsidRPr="00AF1B55" w:rsidRDefault="00E45F9B" w:rsidP="007068E0">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 xml:space="preserve">Ensures a baseline number of teachers, administrators, related arts teachers, and other staff </w:t>
            </w:r>
          </w:p>
        </w:tc>
        <w:tc>
          <w:tcPr>
            <w:tcW w:w="3330" w:type="dxa"/>
          </w:tcPr>
          <w:p w14:paraId="2374F0E1" w14:textId="77777777" w:rsidR="00AF1B55" w:rsidRPr="007068E0"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Limited flexibility for schools</w:t>
            </w:r>
          </w:p>
          <w:p w14:paraId="3B5B78CA" w14:textId="6822F36B" w:rsidR="007068E0" w:rsidRPr="00AF1B55" w:rsidRDefault="00F13895" w:rsidP="00F13895">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Lack of transparency in</w:t>
            </w:r>
            <w:r w:rsidR="007068E0">
              <w:rPr>
                <w:bCs/>
              </w:rPr>
              <w:t xml:space="preserve"> how </w:t>
            </w:r>
            <w:r>
              <w:rPr>
                <w:bCs/>
              </w:rPr>
              <w:t>additional</w:t>
            </w:r>
            <w:r w:rsidR="007068E0">
              <w:rPr>
                <w:bCs/>
              </w:rPr>
              <w:t xml:space="preserve"> money is allocated to schools above and beyond the CSM</w:t>
            </w:r>
          </w:p>
        </w:tc>
      </w:tr>
      <w:tr w:rsidR="00AF1B55" w14:paraId="45CA20C1" w14:textId="77777777" w:rsidTr="00E45F9B">
        <w:tc>
          <w:tcPr>
            <w:cnfStyle w:val="001000000000" w:firstRow="0" w:lastRow="0" w:firstColumn="1" w:lastColumn="0" w:oddVBand="0" w:evenVBand="0" w:oddHBand="0" w:evenHBand="0" w:firstRowFirstColumn="0" w:firstRowLastColumn="0" w:lastRowFirstColumn="0" w:lastRowLastColumn="0"/>
            <w:tcW w:w="3685" w:type="dxa"/>
          </w:tcPr>
          <w:p w14:paraId="74A8C96D" w14:textId="77777777" w:rsidR="00AF1B55" w:rsidRDefault="00AF1B55" w:rsidP="00875B32">
            <w:pPr>
              <w:rPr>
                <w:b w:val="0"/>
              </w:rPr>
            </w:pPr>
            <w:r w:rsidRPr="00AF1B55">
              <w:rPr>
                <w:bCs w:val="0"/>
              </w:rPr>
              <w:t>Student-based budgeting (SBB)</w:t>
            </w:r>
          </w:p>
          <w:p w14:paraId="0A445EDA" w14:textId="7C7CBAE6" w:rsidR="00E45F9B" w:rsidRPr="00E45F9B" w:rsidRDefault="00E45F9B" w:rsidP="00875B32">
            <w:pPr>
              <w:rPr>
                <w:b w:val="0"/>
                <w:bCs w:val="0"/>
                <w:i/>
                <w:iCs/>
              </w:rPr>
            </w:pPr>
            <w:r w:rsidRPr="00E45F9B">
              <w:rPr>
                <w:b w:val="0"/>
                <w:bCs w:val="0"/>
                <w:i/>
                <w:iCs/>
              </w:rPr>
              <w:t xml:space="preserve">(Determines school budget allocations using a formula that takes into account enrollment and student characteristics. This model is similar to the UPSFF, but the amounts going to schools would be less than the UPSFF </w:t>
            </w:r>
            <w:r>
              <w:rPr>
                <w:b w:val="0"/>
                <w:bCs w:val="0"/>
                <w:i/>
                <w:iCs/>
              </w:rPr>
              <w:t>as some funds would be needed for administrative costs in both sectors)</w:t>
            </w:r>
          </w:p>
          <w:p w14:paraId="0BA8CD09" w14:textId="4C7D0EAC" w:rsidR="00E45F9B" w:rsidRPr="00AF1B55" w:rsidRDefault="00E45F9B" w:rsidP="00875B32">
            <w:pPr>
              <w:rPr>
                <w:bCs w:val="0"/>
              </w:rPr>
            </w:pPr>
          </w:p>
        </w:tc>
        <w:tc>
          <w:tcPr>
            <w:tcW w:w="3420" w:type="dxa"/>
          </w:tcPr>
          <w:p w14:paraId="73CCC9B9" w14:textId="77777777" w:rsidR="00AF1B55" w:rsidRPr="00E45F9B"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Allows for more flexibility for schools in determining how to spend their dollars, unless DCPS also places restrictions on how funds can be used</w:t>
            </w:r>
          </w:p>
          <w:p w14:paraId="681C9DDC" w14:textId="28E45E74" w:rsidR="00E45F9B" w:rsidRPr="00E45F9B"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Provides schools with additional resources for every student in certain categories if the new formula adds greater weights for students in certain categories</w:t>
            </w:r>
            <w:r w:rsidR="003B6785">
              <w:rPr>
                <w:rStyle w:val="FootnoteReference"/>
                <w:bCs/>
              </w:rPr>
              <w:footnoteReference w:id="2"/>
            </w:r>
            <w:r>
              <w:rPr>
                <w:bCs/>
              </w:rPr>
              <w:t xml:space="preserve"> </w:t>
            </w:r>
          </w:p>
          <w:p w14:paraId="65CE94E1" w14:textId="61828F6F" w:rsidR="00E45F9B" w:rsidRPr="00AF1B55"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Provides more transparency in how funds are allocated to schools if all funding streams (local, Title I, at-risk) are allocated using new formula</w:t>
            </w:r>
          </w:p>
        </w:tc>
        <w:tc>
          <w:tcPr>
            <w:tcW w:w="3330" w:type="dxa"/>
          </w:tcPr>
          <w:p w14:paraId="636A4F1C" w14:textId="5B02A663" w:rsidR="00E45F9B" w:rsidRPr="00E45F9B"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 xml:space="preserve">New formula must be created to determine school budget allocations and determining weights in the formula </w:t>
            </w:r>
            <w:r w:rsidR="007068E0">
              <w:rPr>
                <w:bCs/>
              </w:rPr>
              <w:t>will</w:t>
            </w:r>
            <w:r>
              <w:rPr>
                <w:bCs/>
              </w:rPr>
              <w:t xml:space="preserve"> be challenging</w:t>
            </w:r>
            <w:r w:rsidR="003B6785">
              <w:rPr>
                <w:rStyle w:val="FootnoteReference"/>
                <w:bCs/>
              </w:rPr>
              <w:footnoteReference w:id="3"/>
            </w:r>
          </w:p>
          <w:p w14:paraId="08A703BF" w14:textId="77777777" w:rsidR="00E45F9B" w:rsidRPr="00E45F9B"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If funds are insufficient and cover only the bare minimum educational services, greater flexibility will not be achieved</w:t>
            </w:r>
          </w:p>
          <w:p w14:paraId="19A08798" w14:textId="157D78EE" w:rsidR="00193C9E" w:rsidRPr="00F930FB" w:rsidRDefault="00193C9E"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Does not ensure a baseline number of related arts teachers,</w:t>
            </w:r>
            <w:r>
              <w:rPr>
                <w:bCs/>
              </w:rPr>
              <w:t xml:space="preserve"> and could create inequities in programming at </w:t>
            </w:r>
            <w:r>
              <w:rPr>
                <w:bCs/>
              </w:rPr>
              <w:t xml:space="preserve">schools with high at-risk populations </w:t>
            </w:r>
            <w:r>
              <w:rPr>
                <w:bCs/>
              </w:rPr>
              <w:t xml:space="preserve">if they </w:t>
            </w:r>
            <w:r>
              <w:rPr>
                <w:bCs/>
              </w:rPr>
              <w:t xml:space="preserve">are not staffed with art, music, and/or library positions. </w:t>
            </w:r>
          </w:p>
          <w:p w14:paraId="5166E320" w14:textId="3E7E974E" w:rsidR="00E45F9B" w:rsidRPr="00E45F9B" w:rsidRDefault="00E45F9B"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Could penalize schools with smaller enrollments or smaller class sizes</w:t>
            </w:r>
          </w:p>
          <w:p w14:paraId="413267EF" w14:textId="3F1D36C2" w:rsidR="00E45F9B" w:rsidRPr="00193C9E" w:rsidRDefault="00E45F9B" w:rsidP="00F930FB">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u w:val="single"/>
              </w:rPr>
            </w:pPr>
            <w:r>
              <w:rPr>
                <w:bCs/>
              </w:rPr>
              <w:t>If weights for students in certain categories are not adequate, then the new formula could result in highly inequitable school budget allocations.</w:t>
            </w:r>
          </w:p>
        </w:tc>
      </w:tr>
      <w:tr w:rsidR="0021593E" w14:paraId="00E1982C" w14:textId="77777777" w:rsidTr="00E45F9B">
        <w:tc>
          <w:tcPr>
            <w:cnfStyle w:val="001000000000" w:firstRow="0" w:lastRow="0" w:firstColumn="1" w:lastColumn="0" w:oddVBand="0" w:evenVBand="0" w:oddHBand="0" w:evenHBand="0" w:firstRowFirstColumn="0" w:firstRowLastColumn="0" w:lastRowFirstColumn="0" w:lastRowLastColumn="0"/>
            <w:tcW w:w="3685" w:type="dxa"/>
          </w:tcPr>
          <w:p w14:paraId="6B097CD1" w14:textId="020961D0" w:rsidR="003B6785" w:rsidRPr="003B6785" w:rsidRDefault="0021593E" w:rsidP="00875B32">
            <w:pPr>
              <w:rPr>
                <w:b w:val="0"/>
                <w:bCs w:val="0"/>
              </w:rPr>
            </w:pPr>
            <w:r>
              <w:t>Status Quo for Each School</w:t>
            </w:r>
            <w:r w:rsidR="003B6785">
              <w:t xml:space="preserve"> </w:t>
            </w:r>
          </w:p>
        </w:tc>
        <w:tc>
          <w:tcPr>
            <w:tcW w:w="3420" w:type="dxa"/>
          </w:tcPr>
          <w:p w14:paraId="66063B82" w14:textId="4C2137ED" w:rsidR="0021593E" w:rsidRDefault="0021593E"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rPr>
            </w:pPr>
            <w:r>
              <w:rPr>
                <w:bCs/>
              </w:rPr>
              <w:t>Using the prior year’s allocation for each school would provide stability</w:t>
            </w:r>
          </w:p>
        </w:tc>
        <w:tc>
          <w:tcPr>
            <w:tcW w:w="3330" w:type="dxa"/>
          </w:tcPr>
          <w:p w14:paraId="1825E57D" w14:textId="68434798" w:rsidR="0021593E" w:rsidRDefault="0021593E" w:rsidP="00875B32">
            <w:pPr>
              <w:pStyle w:val="ListParagraph"/>
              <w:numPr>
                <w:ilvl w:val="0"/>
                <w:numId w:val="9"/>
              </w:numPr>
              <w:ind w:left="162" w:hanging="162"/>
              <w:cnfStyle w:val="000000000000" w:firstRow="0" w:lastRow="0" w:firstColumn="0" w:lastColumn="0" w:oddVBand="0" w:evenVBand="0" w:oddHBand="0" w:evenHBand="0" w:firstRowFirstColumn="0" w:firstRowLastColumn="0" w:lastRowFirstColumn="0" w:lastRowLastColumn="0"/>
              <w:rPr>
                <w:bCs/>
              </w:rPr>
            </w:pPr>
            <w:r>
              <w:rPr>
                <w:bCs/>
              </w:rPr>
              <w:t>Perpetuates any inequities baked into existing school allocations</w:t>
            </w:r>
          </w:p>
        </w:tc>
      </w:tr>
    </w:tbl>
    <w:p w14:paraId="15591080" w14:textId="77777777" w:rsidR="00AF1B55" w:rsidRDefault="00AF1B55" w:rsidP="00875B32">
      <w:pPr>
        <w:spacing w:after="0" w:line="240" w:lineRule="auto"/>
        <w:rPr>
          <w:bCs/>
          <w:u w:val="single"/>
        </w:rPr>
      </w:pPr>
    </w:p>
    <w:p w14:paraId="6C2C967E" w14:textId="77777777" w:rsidR="003004F4" w:rsidRPr="00CF3AEC" w:rsidRDefault="003004F4" w:rsidP="00875B32">
      <w:pPr>
        <w:spacing w:after="0" w:line="240" w:lineRule="auto"/>
      </w:pPr>
    </w:p>
    <w:sectPr w:rsidR="003004F4" w:rsidRPr="00CF3AEC" w:rsidSect="00E45F9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66C80A" w14:textId="77777777" w:rsidR="00361B4B" w:rsidRDefault="00361B4B" w:rsidP="00E45F9B">
      <w:pPr>
        <w:spacing w:after="0" w:line="240" w:lineRule="auto"/>
      </w:pPr>
      <w:r>
        <w:separator/>
      </w:r>
    </w:p>
  </w:endnote>
  <w:endnote w:type="continuationSeparator" w:id="0">
    <w:p w14:paraId="16990B25" w14:textId="77777777" w:rsidR="00361B4B" w:rsidRDefault="00361B4B" w:rsidP="00E45F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E89F7B" w14:textId="77777777" w:rsidR="00361B4B" w:rsidRDefault="00361B4B" w:rsidP="00E45F9B">
      <w:pPr>
        <w:spacing w:after="0" w:line="240" w:lineRule="auto"/>
      </w:pPr>
      <w:r>
        <w:separator/>
      </w:r>
    </w:p>
  </w:footnote>
  <w:footnote w:type="continuationSeparator" w:id="0">
    <w:p w14:paraId="107B0DC3" w14:textId="77777777" w:rsidR="00361B4B" w:rsidRDefault="00361B4B" w:rsidP="00E45F9B">
      <w:pPr>
        <w:spacing w:after="0" w:line="240" w:lineRule="auto"/>
      </w:pPr>
      <w:r>
        <w:continuationSeparator/>
      </w:r>
    </w:p>
  </w:footnote>
  <w:footnote w:id="1">
    <w:p w14:paraId="0DC054A0" w14:textId="6FB40915" w:rsidR="00E45F9B" w:rsidRDefault="00E45F9B">
      <w:pPr>
        <w:pStyle w:val="FootnoteText"/>
      </w:pPr>
      <w:r>
        <w:rPr>
          <w:rStyle w:val="FootnoteReference"/>
        </w:rPr>
        <w:footnoteRef/>
      </w:r>
      <w:r>
        <w:t xml:space="preserve"> Right now, a school with 35 students in the 5</w:t>
      </w:r>
      <w:r w:rsidRPr="00CF3AEC">
        <w:rPr>
          <w:vertAlign w:val="superscript"/>
        </w:rPr>
        <w:t>th</w:t>
      </w:r>
      <w:r>
        <w:t xml:space="preserve"> grade will receive two 5</w:t>
      </w:r>
      <w:r w:rsidRPr="00CF3AEC">
        <w:rPr>
          <w:vertAlign w:val="superscript"/>
        </w:rPr>
        <w:t>th</w:t>
      </w:r>
      <w:r>
        <w:t xml:space="preserve"> grade teachers. Moving to a student-based budgeting model without careful controls could result in this school receiving one 5</w:t>
      </w:r>
      <w:r w:rsidRPr="00CF3AEC">
        <w:rPr>
          <w:vertAlign w:val="superscript"/>
        </w:rPr>
        <w:t>th</w:t>
      </w:r>
      <w:r>
        <w:t xml:space="preserve"> grade teacher and an unworkably high class size. Also, the schools that tend to fall into this scenario are predominantly high-poverty schools.</w:t>
      </w:r>
    </w:p>
  </w:footnote>
  <w:footnote w:id="2">
    <w:p w14:paraId="5C086341" w14:textId="296727B1" w:rsidR="003B6785" w:rsidRPr="003B6785" w:rsidRDefault="003B6785" w:rsidP="007068E0">
      <w:pPr>
        <w:spacing w:after="0" w:line="240" w:lineRule="auto"/>
        <w:rPr>
          <w:sz w:val="20"/>
          <w:szCs w:val="20"/>
        </w:rPr>
      </w:pPr>
      <w:r>
        <w:rPr>
          <w:rStyle w:val="FootnoteReference"/>
        </w:rPr>
        <w:footnoteRef/>
      </w:r>
      <w:r>
        <w:t xml:space="preserve"> </w:t>
      </w:r>
      <w:r w:rsidRPr="003B6785">
        <w:rPr>
          <w:sz w:val="20"/>
          <w:szCs w:val="20"/>
        </w:rPr>
        <w:t xml:space="preserve">While researchers disagree on exactly what the weights should be, the consensus is that the weights should be about double for each category of student need (e.g., special education, English language learner, low-income). </w:t>
      </w:r>
    </w:p>
  </w:footnote>
  <w:footnote w:id="3">
    <w:p w14:paraId="36FC6CBE" w14:textId="105F08E1" w:rsidR="003B6785" w:rsidRPr="003B6785" w:rsidRDefault="003B6785" w:rsidP="003B6785">
      <w:pPr>
        <w:spacing w:line="240" w:lineRule="auto"/>
        <w:rPr>
          <w:sz w:val="20"/>
          <w:szCs w:val="20"/>
        </w:rPr>
      </w:pPr>
      <w:r>
        <w:rPr>
          <w:rStyle w:val="FootnoteReference"/>
        </w:rPr>
        <w:footnoteRef/>
      </w:r>
      <w:r>
        <w:t xml:space="preserve"> </w:t>
      </w:r>
      <w:r>
        <w:rPr>
          <w:sz w:val="20"/>
          <w:szCs w:val="20"/>
        </w:rPr>
        <w:t>T</w:t>
      </w:r>
      <w:r w:rsidRPr="003B6785">
        <w:rPr>
          <w:sz w:val="20"/>
          <w:szCs w:val="20"/>
        </w:rPr>
        <w:t xml:space="preserve">he weights recommended by researchers are far greater than the current weights in the UPSFF. This means that it is currently not possible to create a new formula with recommended weights by researchers. In addition, regrettably, most states do not adhere to these recommendations. While this website is somewhat dated, it shows the funding weights per student category in each state in 2011: </w:t>
      </w:r>
      <w:hyperlink r:id="rId1" w:history="1">
        <w:r w:rsidRPr="003B6785">
          <w:rPr>
            <w:sz w:val="20"/>
            <w:szCs w:val="20"/>
          </w:rPr>
          <w:t>https://schoolfinancesdav.wordpress.com/</w:t>
        </w:r>
      </w:hyperlink>
      <w:r w:rsidRPr="003B6785">
        <w:rPr>
          <w:sz w:val="20"/>
          <w:szCs w:val="20"/>
        </w:rPr>
        <w:t xml:space="preserve">. </w:t>
      </w:r>
    </w:p>
    <w:p w14:paraId="47692139" w14:textId="6A3465B9" w:rsidR="003B6785" w:rsidRDefault="003B6785">
      <w:pPr>
        <w:pStyle w:val="FootnoteText"/>
      </w:pPr>
      <w:bookmarkStart w:id="0" w:name="_GoBack"/>
      <w:bookmarkEnd w:id="0"/>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F5A08"/>
    <w:multiLevelType w:val="hybridMultilevel"/>
    <w:tmpl w:val="084A4A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9737A6"/>
    <w:multiLevelType w:val="hybridMultilevel"/>
    <w:tmpl w:val="54A6C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2F3FFB"/>
    <w:multiLevelType w:val="hybridMultilevel"/>
    <w:tmpl w:val="5EAA3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8F11CD"/>
    <w:multiLevelType w:val="hybridMultilevel"/>
    <w:tmpl w:val="9E302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631E57"/>
    <w:multiLevelType w:val="hybridMultilevel"/>
    <w:tmpl w:val="66F06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9D3C57"/>
    <w:multiLevelType w:val="hybridMultilevel"/>
    <w:tmpl w:val="26EA6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4B23D6C"/>
    <w:multiLevelType w:val="hybridMultilevel"/>
    <w:tmpl w:val="9936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770ADE"/>
    <w:multiLevelType w:val="hybridMultilevel"/>
    <w:tmpl w:val="3B127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7803DDB"/>
    <w:multiLevelType w:val="hybridMultilevel"/>
    <w:tmpl w:val="81924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8"/>
  </w:num>
  <w:num w:numId="5">
    <w:abstractNumId w:val="4"/>
  </w:num>
  <w:num w:numId="6">
    <w:abstractNumId w:val="7"/>
  </w:num>
  <w:num w:numId="7">
    <w:abstractNumId w:val="0"/>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AEC"/>
    <w:rsid w:val="00022B4D"/>
    <w:rsid w:val="00073F34"/>
    <w:rsid w:val="000A61E0"/>
    <w:rsid w:val="000B2153"/>
    <w:rsid w:val="000D6C9E"/>
    <w:rsid w:val="000E4D09"/>
    <w:rsid w:val="000F1C9C"/>
    <w:rsid w:val="0012206C"/>
    <w:rsid w:val="00133F51"/>
    <w:rsid w:val="00136123"/>
    <w:rsid w:val="001445A4"/>
    <w:rsid w:val="00151C0C"/>
    <w:rsid w:val="00193C9E"/>
    <w:rsid w:val="001B21D2"/>
    <w:rsid w:val="001B68A8"/>
    <w:rsid w:val="001C14B7"/>
    <w:rsid w:val="001E38FD"/>
    <w:rsid w:val="001E3BF4"/>
    <w:rsid w:val="001F1DB4"/>
    <w:rsid w:val="0021593E"/>
    <w:rsid w:val="00220631"/>
    <w:rsid w:val="00223354"/>
    <w:rsid w:val="002454F7"/>
    <w:rsid w:val="00275B7A"/>
    <w:rsid w:val="00282383"/>
    <w:rsid w:val="002F2589"/>
    <w:rsid w:val="002F5846"/>
    <w:rsid w:val="003004F4"/>
    <w:rsid w:val="003223EB"/>
    <w:rsid w:val="00333AD0"/>
    <w:rsid w:val="00333C18"/>
    <w:rsid w:val="00361B4B"/>
    <w:rsid w:val="00366C75"/>
    <w:rsid w:val="003B1943"/>
    <w:rsid w:val="003B6785"/>
    <w:rsid w:val="003C5DDA"/>
    <w:rsid w:val="003C6964"/>
    <w:rsid w:val="00407DD5"/>
    <w:rsid w:val="004107B8"/>
    <w:rsid w:val="00445864"/>
    <w:rsid w:val="00466BBA"/>
    <w:rsid w:val="0048766A"/>
    <w:rsid w:val="004877C3"/>
    <w:rsid w:val="00490868"/>
    <w:rsid w:val="00495A56"/>
    <w:rsid w:val="005173B0"/>
    <w:rsid w:val="00524BFF"/>
    <w:rsid w:val="0054262C"/>
    <w:rsid w:val="00555A6D"/>
    <w:rsid w:val="005A33EF"/>
    <w:rsid w:val="005B4024"/>
    <w:rsid w:val="005C7C6B"/>
    <w:rsid w:val="005D61C0"/>
    <w:rsid w:val="005E3BEC"/>
    <w:rsid w:val="005F2B8E"/>
    <w:rsid w:val="0062416B"/>
    <w:rsid w:val="006418BE"/>
    <w:rsid w:val="0068696A"/>
    <w:rsid w:val="007068E0"/>
    <w:rsid w:val="00754A69"/>
    <w:rsid w:val="0076474E"/>
    <w:rsid w:val="007747B2"/>
    <w:rsid w:val="00774C21"/>
    <w:rsid w:val="00774DCD"/>
    <w:rsid w:val="0078474E"/>
    <w:rsid w:val="007852BF"/>
    <w:rsid w:val="007A6CD4"/>
    <w:rsid w:val="007C460B"/>
    <w:rsid w:val="0081672B"/>
    <w:rsid w:val="00861936"/>
    <w:rsid w:val="0087541F"/>
    <w:rsid w:val="00875B32"/>
    <w:rsid w:val="008823D5"/>
    <w:rsid w:val="00885B93"/>
    <w:rsid w:val="008C1C9B"/>
    <w:rsid w:val="00941E34"/>
    <w:rsid w:val="00981B90"/>
    <w:rsid w:val="0099384F"/>
    <w:rsid w:val="009D6DF0"/>
    <w:rsid w:val="009E506D"/>
    <w:rsid w:val="009F0BC9"/>
    <w:rsid w:val="009F309C"/>
    <w:rsid w:val="00A16D85"/>
    <w:rsid w:val="00A3047F"/>
    <w:rsid w:val="00A42771"/>
    <w:rsid w:val="00A73D97"/>
    <w:rsid w:val="00A8155F"/>
    <w:rsid w:val="00AB2C05"/>
    <w:rsid w:val="00AB54BA"/>
    <w:rsid w:val="00AC7BB2"/>
    <w:rsid w:val="00AD0C2D"/>
    <w:rsid w:val="00AD2A6F"/>
    <w:rsid w:val="00AD3359"/>
    <w:rsid w:val="00AF1B55"/>
    <w:rsid w:val="00B87654"/>
    <w:rsid w:val="00C041F2"/>
    <w:rsid w:val="00C17F07"/>
    <w:rsid w:val="00C26698"/>
    <w:rsid w:val="00C3086C"/>
    <w:rsid w:val="00C45C28"/>
    <w:rsid w:val="00C75AF8"/>
    <w:rsid w:val="00C804C0"/>
    <w:rsid w:val="00C86B56"/>
    <w:rsid w:val="00CA2C0F"/>
    <w:rsid w:val="00CD417D"/>
    <w:rsid w:val="00CD4210"/>
    <w:rsid w:val="00CE046F"/>
    <w:rsid w:val="00CF3AEC"/>
    <w:rsid w:val="00D01482"/>
    <w:rsid w:val="00D27379"/>
    <w:rsid w:val="00D54687"/>
    <w:rsid w:val="00DA5C5E"/>
    <w:rsid w:val="00DB056A"/>
    <w:rsid w:val="00DC42CC"/>
    <w:rsid w:val="00DC58B4"/>
    <w:rsid w:val="00DD2165"/>
    <w:rsid w:val="00DE1F4A"/>
    <w:rsid w:val="00DE25BB"/>
    <w:rsid w:val="00DF344C"/>
    <w:rsid w:val="00E34B80"/>
    <w:rsid w:val="00E45F9B"/>
    <w:rsid w:val="00E62153"/>
    <w:rsid w:val="00E83267"/>
    <w:rsid w:val="00EB1054"/>
    <w:rsid w:val="00EB757A"/>
    <w:rsid w:val="00F13895"/>
    <w:rsid w:val="00F167FB"/>
    <w:rsid w:val="00F73284"/>
    <w:rsid w:val="00F930FB"/>
    <w:rsid w:val="00F967C6"/>
    <w:rsid w:val="00FC21CF"/>
    <w:rsid w:val="00FD30C9"/>
    <w:rsid w:val="00FF2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3B170"/>
  <w15:chartTrackingRefBased/>
  <w15:docId w15:val="{FC48D78F-F7B5-4B72-9D74-80AA6016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3AEC"/>
    <w:pPr>
      <w:ind w:left="720"/>
      <w:contextualSpacing/>
    </w:pPr>
  </w:style>
  <w:style w:type="character" w:styleId="Hyperlink">
    <w:name w:val="Hyperlink"/>
    <w:basedOn w:val="DefaultParagraphFont"/>
    <w:uiPriority w:val="99"/>
    <w:unhideWhenUsed/>
    <w:rsid w:val="009E506D"/>
    <w:rPr>
      <w:color w:val="0563C1" w:themeColor="hyperlink"/>
      <w:u w:val="single"/>
    </w:rPr>
  </w:style>
  <w:style w:type="paragraph" w:styleId="BalloonText">
    <w:name w:val="Balloon Text"/>
    <w:basedOn w:val="Normal"/>
    <w:link w:val="BalloonTextChar"/>
    <w:uiPriority w:val="99"/>
    <w:semiHidden/>
    <w:unhideWhenUsed/>
    <w:rsid w:val="003004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4F4"/>
    <w:rPr>
      <w:rFonts w:ascii="Segoe UI" w:hAnsi="Segoe UI" w:cs="Segoe UI"/>
      <w:sz w:val="18"/>
      <w:szCs w:val="18"/>
    </w:rPr>
  </w:style>
  <w:style w:type="character" w:styleId="CommentReference">
    <w:name w:val="annotation reference"/>
    <w:basedOn w:val="DefaultParagraphFont"/>
    <w:uiPriority w:val="99"/>
    <w:semiHidden/>
    <w:unhideWhenUsed/>
    <w:rsid w:val="003C6964"/>
    <w:rPr>
      <w:sz w:val="16"/>
      <w:szCs w:val="16"/>
    </w:rPr>
  </w:style>
  <w:style w:type="paragraph" w:styleId="CommentText">
    <w:name w:val="annotation text"/>
    <w:basedOn w:val="Normal"/>
    <w:link w:val="CommentTextChar"/>
    <w:uiPriority w:val="99"/>
    <w:semiHidden/>
    <w:unhideWhenUsed/>
    <w:rsid w:val="003C6964"/>
    <w:pPr>
      <w:spacing w:line="240" w:lineRule="auto"/>
    </w:pPr>
    <w:rPr>
      <w:sz w:val="20"/>
      <w:szCs w:val="20"/>
    </w:rPr>
  </w:style>
  <w:style w:type="character" w:customStyle="1" w:styleId="CommentTextChar">
    <w:name w:val="Comment Text Char"/>
    <w:basedOn w:val="DefaultParagraphFont"/>
    <w:link w:val="CommentText"/>
    <w:uiPriority w:val="99"/>
    <w:semiHidden/>
    <w:rsid w:val="003C6964"/>
    <w:rPr>
      <w:sz w:val="20"/>
      <w:szCs w:val="20"/>
    </w:rPr>
  </w:style>
  <w:style w:type="paragraph" w:styleId="CommentSubject">
    <w:name w:val="annotation subject"/>
    <w:basedOn w:val="CommentText"/>
    <w:next w:val="CommentText"/>
    <w:link w:val="CommentSubjectChar"/>
    <w:uiPriority w:val="99"/>
    <w:semiHidden/>
    <w:unhideWhenUsed/>
    <w:rsid w:val="003C6964"/>
    <w:rPr>
      <w:b/>
      <w:bCs/>
    </w:rPr>
  </w:style>
  <w:style w:type="character" w:customStyle="1" w:styleId="CommentSubjectChar">
    <w:name w:val="Comment Subject Char"/>
    <w:basedOn w:val="CommentTextChar"/>
    <w:link w:val="CommentSubject"/>
    <w:uiPriority w:val="99"/>
    <w:semiHidden/>
    <w:rsid w:val="003C6964"/>
    <w:rPr>
      <w:b/>
      <w:bCs/>
      <w:sz w:val="20"/>
      <w:szCs w:val="20"/>
    </w:rPr>
  </w:style>
  <w:style w:type="paragraph" w:styleId="Revision">
    <w:name w:val="Revision"/>
    <w:hidden/>
    <w:uiPriority w:val="99"/>
    <w:semiHidden/>
    <w:rsid w:val="003C6964"/>
    <w:pPr>
      <w:spacing w:after="0" w:line="240" w:lineRule="auto"/>
    </w:pPr>
  </w:style>
  <w:style w:type="table" w:styleId="TableGrid">
    <w:name w:val="Table Grid"/>
    <w:basedOn w:val="TableNormal"/>
    <w:uiPriority w:val="39"/>
    <w:rsid w:val="00AF1B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1Light">
    <w:name w:val="Grid Table 1 Light"/>
    <w:basedOn w:val="TableNormal"/>
    <w:uiPriority w:val="46"/>
    <w:rsid w:val="00AF1B55"/>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FootnoteText">
    <w:name w:val="footnote text"/>
    <w:basedOn w:val="Normal"/>
    <w:link w:val="FootnoteTextChar"/>
    <w:uiPriority w:val="99"/>
    <w:semiHidden/>
    <w:unhideWhenUsed/>
    <w:rsid w:val="00E45F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5F9B"/>
    <w:rPr>
      <w:sz w:val="20"/>
      <w:szCs w:val="20"/>
    </w:rPr>
  </w:style>
  <w:style w:type="character" w:styleId="FootnoteReference">
    <w:name w:val="footnote reference"/>
    <w:basedOn w:val="DefaultParagraphFont"/>
    <w:uiPriority w:val="99"/>
    <w:semiHidden/>
    <w:unhideWhenUsed/>
    <w:rsid w:val="00E45F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974157">
      <w:bodyDiv w:val="1"/>
      <w:marLeft w:val="0"/>
      <w:marRight w:val="0"/>
      <w:marTop w:val="0"/>
      <w:marBottom w:val="0"/>
      <w:divBdr>
        <w:top w:val="none" w:sz="0" w:space="0" w:color="auto"/>
        <w:left w:val="none" w:sz="0" w:space="0" w:color="auto"/>
        <w:bottom w:val="none" w:sz="0" w:space="0" w:color="auto"/>
        <w:right w:val="none" w:sz="0" w:space="0" w:color="auto"/>
      </w:divBdr>
      <w:divsChild>
        <w:div w:id="1623993854">
          <w:marLeft w:val="0"/>
          <w:marRight w:val="0"/>
          <w:marTop w:val="0"/>
          <w:marBottom w:val="0"/>
          <w:divBdr>
            <w:top w:val="none" w:sz="0" w:space="0" w:color="auto"/>
            <w:left w:val="none" w:sz="0" w:space="0" w:color="auto"/>
            <w:bottom w:val="none" w:sz="0" w:space="0" w:color="auto"/>
            <w:right w:val="none" w:sz="0" w:space="0" w:color="auto"/>
          </w:divBdr>
        </w:div>
        <w:div w:id="2069762333">
          <w:marLeft w:val="0"/>
          <w:marRight w:val="0"/>
          <w:marTop w:val="0"/>
          <w:marBottom w:val="0"/>
          <w:divBdr>
            <w:top w:val="none" w:sz="0" w:space="0" w:color="auto"/>
            <w:left w:val="none" w:sz="0" w:space="0" w:color="auto"/>
            <w:bottom w:val="none" w:sz="0" w:space="0" w:color="auto"/>
            <w:right w:val="none" w:sz="0" w:space="0" w:color="auto"/>
          </w:divBdr>
        </w:div>
        <w:div w:id="543101639">
          <w:marLeft w:val="0"/>
          <w:marRight w:val="0"/>
          <w:marTop w:val="0"/>
          <w:marBottom w:val="0"/>
          <w:divBdr>
            <w:top w:val="none" w:sz="0" w:space="0" w:color="auto"/>
            <w:left w:val="none" w:sz="0" w:space="0" w:color="auto"/>
            <w:bottom w:val="none" w:sz="0" w:space="0" w:color="auto"/>
            <w:right w:val="none" w:sz="0" w:space="0" w:color="auto"/>
          </w:divBdr>
        </w:div>
        <w:div w:id="1885210927">
          <w:marLeft w:val="0"/>
          <w:marRight w:val="0"/>
          <w:marTop w:val="0"/>
          <w:marBottom w:val="0"/>
          <w:divBdr>
            <w:top w:val="none" w:sz="0" w:space="0" w:color="auto"/>
            <w:left w:val="none" w:sz="0" w:space="0" w:color="auto"/>
            <w:bottom w:val="none" w:sz="0" w:space="0" w:color="auto"/>
            <w:right w:val="none" w:sz="0" w:space="0" w:color="auto"/>
          </w:divBdr>
        </w:div>
        <w:div w:id="1598715745">
          <w:marLeft w:val="0"/>
          <w:marRight w:val="0"/>
          <w:marTop w:val="0"/>
          <w:marBottom w:val="0"/>
          <w:divBdr>
            <w:top w:val="none" w:sz="0" w:space="0" w:color="auto"/>
            <w:left w:val="none" w:sz="0" w:space="0" w:color="auto"/>
            <w:bottom w:val="none" w:sz="0" w:space="0" w:color="auto"/>
            <w:right w:val="none" w:sz="0" w:space="0" w:color="auto"/>
          </w:divBdr>
        </w:div>
        <w:div w:id="1849099314">
          <w:marLeft w:val="0"/>
          <w:marRight w:val="0"/>
          <w:marTop w:val="0"/>
          <w:marBottom w:val="0"/>
          <w:divBdr>
            <w:top w:val="none" w:sz="0" w:space="0" w:color="auto"/>
            <w:left w:val="none" w:sz="0" w:space="0" w:color="auto"/>
            <w:bottom w:val="none" w:sz="0" w:space="0" w:color="auto"/>
            <w:right w:val="none" w:sz="0" w:space="0" w:color="auto"/>
          </w:divBdr>
        </w:div>
        <w:div w:id="185170342">
          <w:marLeft w:val="0"/>
          <w:marRight w:val="0"/>
          <w:marTop w:val="0"/>
          <w:marBottom w:val="0"/>
          <w:divBdr>
            <w:top w:val="none" w:sz="0" w:space="0" w:color="auto"/>
            <w:left w:val="none" w:sz="0" w:space="0" w:color="auto"/>
            <w:bottom w:val="none" w:sz="0" w:space="0" w:color="auto"/>
            <w:right w:val="none" w:sz="0" w:space="0" w:color="auto"/>
          </w:divBdr>
        </w:div>
        <w:div w:id="2003045933">
          <w:marLeft w:val="0"/>
          <w:marRight w:val="0"/>
          <w:marTop w:val="0"/>
          <w:marBottom w:val="0"/>
          <w:divBdr>
            <w:top w:val="none" w:sz="0" w:space="0" w:color="auto"/>
            <w:left w:val="none" w:sz="0" w:space="0" w:color="auto"/>
            <w:bottom w:val="none" w:sz="0" w:space="0" w:color="auto"/>
            <w:right w:val="none" w:sz="0" w:space="0" w:color="auto"/>
          </w:divBdr>
        </w:div>
        <w:div w:id="1807966841">
          <w:marLeft w:val="0"/>
          <w:marRight w:val="0"/>
          <w:marTop w:val="0"/>
          <w:marBottom w:val="0"/>
          <w:divBdr>
            <w:top w:val="none" w:sz="0" w:space="0" w:color="auto"/>
            <w:left w:val="none" w:sz="0" w:space="0" w:color="auto"/>
            <w:bottom w:val="none" w:sz="0" w:space="0" w:color="auto"/>
            <w:right w:val="none" w:sz="0" w:space="0" w:color="auto"/>
          </w:divBdr>
        </w:div>
        <w:div w:id="1378437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schoolfinancesdav.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890</Words>
  <Characters>5076</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Johns Hopkins</Company>
  <LinksUpToDate>false</LinksUpToDate>
  <CharactersWithSpaces>5955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Wolf</dc:creator>
  <cp:keywords/>
  <dc:description/>
  <cp:lastModifiedBy>Microsoft Office User</cp:lastModifiedBy>
  <cp:revision>2</cp:revision>
  <cp:lastPrinted>2019-07-17T01:38:00Z</cp:lastPrinted>
  <dcterms:created xsi:type="dcterms:W3CDTF">2019-07-18T03:01:00Z</dcterms:created>
  <dcterms:modified xsi:type="dcterms:W3CDTF">2019-07-18T03:01:00Z</dcterms:modified>
</cp:coreProperties>
</file>